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Condizioni di servizio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L’accesso al servizio online costituisce accettazione dei termini e delle condizioni di utilizzo del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Per la corretta compilazione della domanda e l’effettivo accesso al servizio online, il cittadino è tenuto a comunicare all’Ente: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before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i suoi dati personali. A titolo esemplificativo e non esaustivo: nome, cognome, codice fiscale, data di nascita, email, numero di telefono...);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i dati necessari per l’erogazione del servizio, quali il servizio e il motivo per i quali si richiede un appuntamento.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Nella compilazione della domanda, il cittadino è tenuto a riportare esclusivamente informazioni corrispondenti al vero.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Il cittadino ha la facoltà di scaricare e utilizzare liberamente eventuali documenti allegati alla scheda del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Per accedere al servizio online, il cittadino è tenuto a autenticarsi tramite SPID o 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A tal proposito, il cittadino: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è responsabile del mantenimento della sicurezza del proprio account;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è responsabile di tutte le attività che si verificano dal suo account;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è tenuto a informare immediatamente l’Ente di eventuali usi non autorizzati del proprio account nonché di ogni altra violazione della sicurezza.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L’Ente: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non è responsabile delle perdite o dei danni derivanti dal mancato rispetto degli obblighi di sicurezza in capo al cittadino;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non è responsabile di eventuali danni causati dall’accesso al servizio;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rtl w:val="0"/>
        </w:rPr>
        <w:t xml:space="preserve">non è responsabile di eventuali danni causati dall’impossibilità del cittadino ad accedere al servizio.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